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1E11F" w14:textId="47937C1C" w:rsidR="005348D6" w:rsidRPr="008C4399" w:rsidRDefault="005348D6" w:rsidP="00804DBF">
      <w:pPr>
        <w:spacing w:after="0"/>
        <w:jc w:val="center"/>
        <w:rPr>
          <w:sz w:val="44"/>
          <w:szCs w:val="44"/>
          <w:lang w:val="en-US"/>
        </w:rPr>
      </w:pPr>
      <w:r w:rsidRPr="00AF3D19">
        <w:rPr>
          <w:sz w:val="44"/>
          <w:szCs w:val="44"/>
          <w:lang w:val="en-US"/>
        </w:rPr>
        <w:t>ePlat.Apol.22e—</w:t>
      </w:r>
      <w:r w:rsidR="00AF3D19" w:rsidRPr="00AF3D19">
        <w:rPr>
          <w:sz w:val="44"/>
          <w:szCs w:val="44"/>
          <w:lang w:val="en-US"/>
        </w:rPr>
        <w:t>2</w:t>
      </w:r>
      <w:r w:rsidR="008B13D4">
        <w:rPr>
          <w:sz w:val="44"/>
          <w:szCs w:val="44"/>
          <w:lang w:val="en-US"/>
        </w:rPr>
        <w:t>4</w:t>
      </w:r>
      <w:r w:rsidR="00AF3D19" w:rsidRPr="00AF3D19">
        <w:rPr>
          <w:sz w:val="44"/>
          <w:szCs w:val="44"/>
          <w:lang w:val="en-US"/>
        </w:rPr>
        <w:t xml:space="preserve">a </w:t>
      </w:r>
      <w:r w:rsidR="008C4399">
        <w:rPr>
          <w:sz w:val="44"/>
          <w:szCs w:val="44"/>
          <w:lang w:val="el-GR"/>
        </w:rPr>
        <w:t>οἱ</w:t>
      </w:r>
      <w:r w:rsidR="008C4399" w:rsidRPr="008C4399">
        <w:rPr>
          <w:sz w:val="44"/>
          <w:szCs w:val="44"/>
          <w:lang w:val="en-US"/>
        </w:rPr>
        <w:t xml:space="preserve"> </w:t>
      </w:r>
      <w:r w:rsidR="008C4399">
        <w:rPr>
          <w:sz w:val="44"/>
          <w:szCs w:val="44"/>
          <w:lang w:val="el-GR"/>
        </w:rPr>
        <w:t>νέοι</w:t>
      </w:r>
    </w:p>
    <w:p w14:paraId="3D8090FB" w14:textId="0582BE62" w:rsidR="005348D6" w:rsidRPr="00AF3D19" w:rsidRDefault="005348D6" w:rsidP="00804DBF">
      <w:pPr>
        <w:pStyle w:val="StandardWeb"/>
        <w:spacing w:before="0" w:after="0" w:afterAutospacing="0"/>
        <w:rPr>
          <w:rFonts w:ascii="Alkaios" w:hAnsi="Alkaios"/>
          <w:lang w:val="en-US"/>
        </w:rPr>
      </w:pPr>
      <w:r w:rsidRPr="00AF3D19">
        <w:rPr>
          <w:rFonts w:ascii="Alkaios" w:hAnsi="Alkaios"/>
          <w:lang w:val="el-GR"/>
        </w:rPr>
        <w:t>Ἐκ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ταυτησὶ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δὴ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τῆς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ἐξετάσεως</w:t>
      </w:r>
      <w:r w:rsidRPr="00AF3D19">
        <w:rPr>
          <w:rFonts w:ascii="Alkaios" w:hAnsi="Alkaios"/>
          <w:lang w:val="en-US"/>
        </w:rPr>
        <w:t xml:space="preserve">, </w:t>
      </w:r>
      <w:r w:rsidRPr="00AF3D19">
        <w:rPr>
          <w:rFonts w:ascii="Alkaios" w:hAnsi="Alkaios"/>
          <w:lang w:val="el-GR"/>
        </w:rPr>
        <w:t>ὦ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ἄνδρες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Ἀθηναῖοι</w:t>
      </w:r>
      <w:r w:rsidRPr="00AF3D19">
        <w:rPr>
          <w:rFonts w:ascii="Alkaios" w:hAnsi="Alkaios"/>
          <w:lang w:val="en-US"/>
        </w:rPr>
        <w:t xml:space="preserve">, </w:t>
      </w:r>
      <w:hyperlink r:id="rId7" w:anchor="p.23a" w:history="1">
        <w:r w:rsidRPr="00AF3D19">
          <w:rPr>
            <w:rStyle w:val="Hyperlink"/>
            <w:rFonts w:ascii="Alkaios" w:eastAsiaTheme="majorEastAsia" w:hAnsi="Alkaios"/>
            <w:lang w:val="en-US"/>
          </w:rPr>
          <w:t>23</w:t>
        </w:r>
      </w:hyperlink>
      <w:r w:rsidRPr="00AF3D19">
        <w:rPr>
          <w:rFonts w:ascii="Alkaios" w:hAnsi="Alkaios"/>
          <w:lang w:val="en-US"/>
        </w:rPr>
        <w:t xml:space="preserve">  </w:t>
      </w:r>
      <w:r w:rsidRPr="00AF3D19">
        <w:rPr>
          <w:rFonts w:ascii="Alkaios" w:hAnsi="Alkaios"/>
          <w:lang w:val="el-GR"/>
        </w:rPr>
        <w:t>πολλαὶ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μὲν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ἀπέχθειαί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μοι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γεγόνασι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καὶ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οἷαι</w:t>
      </w:r>
      <w:r w:rsidR="00851AAF">
        <w:rPr>
          <w:rStyle w:val="Funotenzeichen"/>
          <w:rFonts w:ascii="Alkaios" w:hAnsi="Alkaios"/>
          <w:lang w:val="en-US"/>
        </w:rPr>
        <w:footnoteReference w:id="1"/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χαλεπώταται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καὶ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βαρύταται</w:t>
      </w:r>
      <w:r w:rsidRPr="00AF3D19">
        <w:rPr>
          <w:rFonts w:ascii="Alkaios" w:hAnsi="Alkaios"/>
          <w:lang w:val="en-US"/>
        </w:rPr>
        <w:t xml:space="preserve">, </w:t>
      </w:r>
      <w:r w:rsidRPr="00AF3D19">
        <w:rPr>
          <w:rFonts w:ascii="Alkaios" w:hAnsi="Alkaios"/>
          <w:lang w:val="el-GR"/>
        </w:rPr>
        <w:t>ὥστε</w:t>
      </w:r>
      <w:r w:rsidR="00804DBF" w:rsidRPr="00804DBF">
        <w:rPr>
          <w:rStyle w:val="Funotenzeichen"/>
          <w:rFonts w:ascii="Alkaios" w:hAnsi="Alkaios"/>
        </w:rPr>
        <w:footnoteReference w:id="2"/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πολλὰς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διαβολὰς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ἀπ᾽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αὐτῶν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γεγονέναι</w:t>
      </w:r>
      <w:r w:rsidRPr="00AF3D19">
        <w:rPr>
          <w:rFonts w:ascii="Alkaios" w:hAnsi="Alkaios"/>
          <w:lang w:val="en-US"/>
        </w:rPr>
        <w:t xml:space="preserve">, </w:t>
      </w:r>
      <w:r w:rsidRPr="00AF3D19">
        <w:rPr>
          <w:rFonts w:ascii="Alkaios" w:hAnsi="Alkaios"/>
          <w:lang w:val="el-GR"/>
        </w:rPr>
        <w:t>ὄνομα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δὲ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τοῦτο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λέγεσθαι</w:t>
      </w:r>
      <w:r w:rsidRPr="00AF3D19">
        <w:rPr>
          <w:rFonts w:ascii="Alkaios" w:hAnsi="Alkaios"/>
          <w:lang w:val="en-US"/>
        </w:rPr>
        <w:t xml:space="preserve">, </w:t>
      </w:r>
      <w:r w:rsidRPr="00AF3D19">
        <w:rPr>
          <w:rFonts w:ascii="Alkaios" w:hAnsi="Alkaios"/>
          <w:lang w:val="el-GR"/>
        </w:rPr>
        <w:t>σοφὸς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εἶναι</w:t>
      </w:r>
      <w:r w:rsidR="00804DBF" w:rsidRPr="00804DBF">
        <w:rPr>
          <w:rStyle w:val="Funotenzeichen"/>
          <w:rFonts w:ascii="Alkaios" w:hAnsi="Alkaios"/>
        </w:rPr>
        <w:footnoteReference w:id="3"/>
      </w:r>
      <w:r w:rsidRPr="00AF3D19">
        <w:rPr>
          <w:rFonts w:ascii="Alkaios" w:hAnsi="Alkaios"/>
          <w:lang w:val="en-US"/>
        </w:rPr>
        <w:t xml:space="preserve">· </w:t>
      </w:r>
      <w:r w:rsidRPr="00AF3D19">
        <w:rPr>
          <w:rFonts w:ascii="Alkaios" w:hAnsi="Alkaios"/>
          <w:lang w:val="el-GR"/>
        </w:rPr>
        <w:t>οἴονται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γάρ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με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ἑκάστοτε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οἱ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παρόντες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ταῦτα</w:t>
      </w:r>
      <w:r w:rsidR="00FE7630">
        <w:rPr>
          <w:rStyle w:val="Funotenzeichen"/>
          <w:rFonts w:ascii="Alkaios" w:hAnsi="Alkaios"/>
        </w:rPr>
        <w:footnoteReference w:id="4"/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αὐτὸν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εἶναι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σοφὸν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ἃ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ἂν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ἄλλον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ἐξελέγξω</w:t>
      </w:r>
      <w:r w:rsidRPr="00AF3D19">
        <w:rPr>
          <w:rFonts w:ascii="Alkaios" w:hAnsi="Alkaios"/>
          <w:lang w:val="en-US"/>
        </w:rPr>
        <w:t xml:space="preserve">. </w:t>
      </w:r>
      <w:r w:rsidRPr="00AF3D19">
        <w:rPr>
          <w:rFonts w:ascii="Alkaios" w:hAnsi="Alkaios"/>
          <w:lang w:val="el-GR"/>
        </w:rPr>
        <w:t>τὸ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δὲ</w:t>
      </w:r>
      <w:r w:rsidR="00960DEB">
        <w:rPr>
          <w:rStyle w:val="Funotenzeichen"/>
          <w:rFonts w:ascii="Alkaios" w:hAnsi="Alkaios"/>
        </w:rPr>
        <w:footnoteReference w:id="5"/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κινδυνεύει</w:t>
      </w:r>
      <w:r w:rsidRPr="00AF3D19">
        <w:rPr>
          <w:rFonts w:ascii="Alkaios" w:hAnsi="Alkaios"/>
          <w:lang w:val="en-US"/>
        </w:rPr>
        <w:t xml:space="preserve">, </w:t>
      </w:r>
      <w:r w:rsidRPr="00AF3D19">
        <w:rPr>
          <w:rFonts w:ascii="Alkaios" w:hAnsi="Alkaios"/>
          <w:lang w:val="el-GR"/>
        </w:rPr>
        <w:t>ὦ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ἄνδρες</w:t>
      </w:r>
      <w:r w:rsidRPr="00AF3D19">
        <w:rPr>
          <w:rFonts w:ascii="Alkaios" w:hAnsi="Alkaios"/>
          <w:lang w:val="en-US"/>
        </w:rPr>
        <w:t xml:space="preserve">, </w:t>
      </w:r>
      <w:r w:rsidRPr="00AF3D19">
        <w:rPr>
          <w:rFonts w:ascii="Alkaios" w:hAnsi="Alkaios"/>
          <w:lang w:val="el-GR"/>
        </w:rPr>
        <w:t>τῷ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ὄντι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ὁ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θεὸς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σοφὸς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εἶναι</w:t>
      </w:r>
      <w:r w:rsidRPr="00AF3D19">
        <w:rPr>
          <w:rFonts w:ascii="Alkaios" w:hAnsi="Alkaios"/>
          <w:lang w:val="en-US"/>
        </w:rPr>
        <w:t xml:space="preserve">, </w:t>
      </w:r>
      <w:r w:rsidRPr="00AF3D19">
        <w:rPr>
          <w:rFonts w:ascii="Alkaios" w:hAnsi="Alkaios"/>
          <w:lang w:val="el-GR"/>
        </w:rPr>
        <w:t>καὶ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ἐν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τῷ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χρησμῷ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τούτῳ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τοῦτο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λέγειν</w:t>
      </w:r>
      <w:r w:rsidRPr="00AF3D19">
        <w:rPr>
          <w:rFonts w:ascii="Alkaios" w:hAnsi="Alkaios"/>
          <w:lang w:val="en-US"/>
        </w:rPr>
        <w:t xml:space="preserve">, </w:t>
      </w:r>
      <w:r w:rsidRPr="00AF3D19">
        <w:rPr>
          <w:rFonts w:ascii="Alkaios" w:hAnsi="Alkaios"/>
          <w:lang w:val="el-GR"/>
        </w:rPr>
        <w:t>ὅτι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ἡ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ἀνθρωπίνη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σοφία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ὀλίγου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τινὸς</w:t>
      </w:r>
      <w:r w:rsidR="00851AAF">
        <w:rPr>
          <w:rStyle w:val="Funotenzeichen"/>
          <w:rFonts w:ascii="Alkaios" w:hAnsi="Alkaios"/>
          <w:lang w:val="el-GR"/>
        </w:rPr>
        <w:footnoteReference w:id="6"/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ἀξία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ἐστὶν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καὶ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οὐδενός</w:t>
      </w:r>
      <w:r w:rsidRPr="00AF3D19">
        <w:rPr>
          <w:rFonts w:ascii="Alkaios" w:hAnsi="Alkaios"/>
          <w:lang w:val="en-US"/>
        </w:rPr>
        <w:t xml:space="preserve">. </w:t>
      </w:r>
      <w:r w:rsidRPr="00AF3D19">
        <w:rPr>
          <w:rFonts w:ascii="Alkaios" w:hAnsi="Alkaios"/>
          <w:lang w:val="el-GR"/>
        </w:rPr>
        <w:t>καὶ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φαίνεται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τοῦτον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λέγειν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τὸν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Σωκράτη</w:t>
      </w:r>
      <w:r w:rsidRPr="00AF3D19">
        <w:rPr>
          <w:rFonts w:ascii="Alkaios" w:hAnsi="Alkaios"/>
          <w:lang w:val="en-US"/>
        </w:rPr>
        <w:t xml:space="preserve">, </w:t>
      </w:r>
      <w:r w:rsidRPr="00AF3D19">
        <w:rPr>
          <w:rFonts w:ascii="Alkaios" w:hAnsi="Alkaios"/>
          <w:lang w:val="el-GR"/>
        </w:rPr>
        <w:t>προσκεχρῆσθαι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δὲ</w:t>
      </w:r>
      <w:r w:rsidRPr="00AF3D19">
        <w:rPr>
          <w:rFonts w:ascii="Alkaios" w:hAnsi="Alkaios"/>
          <w:lang w:val="en-US"/>
        </w:rPr>
        <w:t xml:space="preserve"> </w:t>
      </w:r>
      <w:hyperlink r:id="rId8" w:anchor="p.23b" w:history="1">
        <w:r w:rsidRPr="00AF3D19">
          <w:rPr>
            <w:rStyle w:val="Hyperlink"/>
            <w:rFonts w:ascii="Alkaios" w:eastAsiaTheme="majorEastAsia" w:hAnsi="Alkaios"/>
            <w:lang w:val="en-US"/>
          </w:rPr>
          <w:t>b</w:t>
        </w:r>
      </w:hyperlink>
      <w:r w:rsidRPr="00AF3D19">
        <w:rPr>
          <w:rFonts w:ascii="Alkaios" w:hAnsi="Alkaios"/>
          <w:lang w:val="en-US"/>
        </w:rPr>
        <w:t xml:space="preserve">  </w:t>
      </w:r>
      <w:r w:rsidRPr="00AF3D19">
        <w:rPr>
          <w:rFonts w:ascii="Alkaios" w:hAnsi="Alkaios"/>
          <w:lang w:val="el-GR"/>
        </w:rPr>
        <w:t>τῷ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ἐμῷ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ὀνόματι</w:t>
      </w:r>
      <w:r w:rsidRPr="00AF3D19">
        <w:rPr>
          <w:rFonts w:ascii="Alkaios" w:hAnsi="Alkaios"/>
          <w:lang w:val="en-US"/>
        </w:rPr>
        <w:t xml:space="preserve">, </w:t>
      </w:r>
      <w:r w:rsidRPr="00AF3D19">
        <w:rPr>
          <w:rFonts w:ascii="Alkaios" w:hAnsi="Alkaios"/>
          <w:lang w:val="el-GR"/>
        </w:rPr>
        <w:t>ἐμὲ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παράδειγμα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ποιούμενος</w:t>
      </w:r>
      <w:r w:rsidRPr="00AF3D19">
        <w:rPr>
          <w:rFonts w:ascii="Alkaios" w:hAnsi="Alkaios"/>
          <w:lang w:val="en-US"/>
        </w:rPr>
        <w:t xml:space="preserve">, </w:t>
      </w:r>
      <w:r w:rsidRPr="00AF3D19">
        <w:rPr>
          <w:rFonts w:ascii="Alkaios" w:hAnsi="Alkaios"/>
          <w:lang w:val="el-GR"/>
        </w:rPr>
        <w:t>ὥσπερ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ἂν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εἰ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εἴποι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ὅτι</w:t>
      </w:r>
      <w:r w:rsidRPr="00AF3D19">
        <w:rPr>
          <w:rFonts w:ascii="Alkaios" w:hAnsi="Alkaios"/>
          <w:lang w:val="en-US"/>
        </w:rPr>
        <w:t xml:space="preserve"> “</w:t>
      </w:r>
      <w:r w:rsidRPr="00AF3D19">
        <w:rPr>
          <w:rFonts w:ascii="Alkaios" w:hAnsi="Alkaios"/>
          <w:lang w:val="el-GR"/>
        </w:rPr>
        <w:t>οὗτος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ὑμῶν</w:t>
      </w:r>
      <w:r w:rsidRPr="00AF3D19">
        <w:rPr>
          <w:rFonts w:ascii="Alkaios" w:hAnsi="Alkaios"/>
          <w:lang w:val="en-US"/>
        </w:rPr>
        <w:t xml:space="preserve">, </w:t>
      </w:r>
      <w:r w:rsidRPr="00AF3D19">
        <w:rPr>
          <w:rFonts w:ascii="Alkaios" w:hAnsi="Alkaios"/>
          <w:lang w:val="el-GR"/>
        </w:rPr>
        <w:t>ὦ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ἄνθρωποι</w:t>
      </w:r>
      <w:r w:rsidRPr="00AF3D19">
        <w:rPr>
          <w:rFonts w:ascii="Alkaios" w:hAnsi="Alkaios"/>
          <w:lang w:val="en-US"/>
        </w:rPr>
        <w:t xml:space="preserve">, </w:t>
      </w:r>
      <w:r w:rsidRPr="00AF3D19">
        <w:rPr>
          <w:rFonts w:ascii="Alkaios" w:hAnsi="Alkaios"/>
          <w:lang w:val="el-GR"/>
        </w:rPr>
        <w:t>σοφώτατός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ἐστιν</w:t>
      </w:r>
      <w:r w:rsidRPr="00AF3D19">
        <w:rPr>
          <w:rFonts w:ascii="Alkaios" w:hAnsi="Alkaios"/>
          <w:lang w:val="en-US"/>
        </w:rPr>
        <w:t xml:space="preserve">, </w:t>
      </w:r>
      <w:r w:rsidRPr="00AF3D19">
        <w:rPr>
          <w:rFonts w:ascii="Alkaios" w:hAnsi="Alkaios"/>
          <w:lang w:val="el-GR"/>
        </w:rPr>
        <w:t>ὅστις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ὥσπερ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Σωκράτης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ἔγνωκεν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ὅτι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οὐδενὸς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ἄξιός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ἐστι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τῇ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ἀληθείᾳ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πρὸς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σοφίαν</w:t>
      </w:r>
      <w:r w:rsidRPr="00AF3D19">
        <w:rPr>
          <w:rFonts w:ascii="Alkaios" w:hAnsi="Alkaios"/>
          <w:lang w:val="en-US"/>
        </w:rPr>
        <w:t xml:space="preserve">”. </w:t>
      </w:r>
      <w:r w:rsidRPr="00AF3D19">
        <w:rPr>
          <w:rFonts w:ascii="Alkaios" w:hAnsi="Alkaios"/>
          <w:lang w:val="el-GR"/>
        </w:rPr>
        <w:t>ταῦτ᾽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οὖν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ἐγὼ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μὲν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ἔτι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καὶ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νῦν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περιιὼν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ζητῶ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καὶ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ἐρευνῶ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κατὰ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τὸν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θεὸν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καὶ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τῶν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ἀστῶν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καὶ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ξένων</w:t>
      </w:r>
      <w:r w:rsidR="004D3092">
        <w:rPr>
          <w:rStyle w:val="Funotenzeichen"/>
          <w:rFonts w:ascii="Alkaios" w:hAnsi="Alkaios"/>
        </w:rPr>
        <w:footnoteReference w:id="7"/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ἄν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τινα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οἴωμαι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σοφὸν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εἶναι</w:t>
      </w:r>
      <w:r w:rsidRPr="00AF3D19">
        <w:rPr>
          <w:rFonts w:ascii="Alkaios" w:hAnsi="Alkaios"/>
          <w:lang w:val="en-US"/>
        </w:rPr>
        <w:t xml:space="preserve">· </w:t>
      </w:r>
      <w:r w:rsidRPr="00AF3D19">
        <w:rPr>
          <w:rFonts w:ascii="Alkaios" w:hAnsi="Alkaios"/>
          <w:lang w:val="el-GR"/>
        </w:rPr>
        <w:t>καὶ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ἐπειδάν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μοι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μὴ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δοκῇ</w:t>
      </w:r>
      <w:r w:rsidRPr="00AF3D19">
        <w:rPr>
          <w:rFonts w:ascii="Alkaios" w:hAnsi="Alkaios"/>
          <w:lang w:val="en-US"/>
        </w:rPr>
        <w:t xml:space="preserve">, </w:t>
      </w:r>
      <w:r w:rsidRPr="00AF3D19">
        <w:rPr>
          <w:rFonts w:ascii="Alkaios" w:hAnsi="Alkaios"/>
          <w:lang w:val="el-GR"/>
        </w:rPr>
        <w:t>τῷ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θεῷ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βοηθῶν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ἐνδείκνυμαι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ὅτι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οὐκ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ἔστι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σοφός</w:t>
      </w:r>
      <w:r w:rsidRPr="00AF3D19">
        <w:rPr>
          <w:rFonts w:ascii="Alkaios" w:hAnsi="Alkaios"/>
          <w:lang w:val="en-US"/>
        </w:rPr>
        <w:t xml:space="preserve">. </w:t>
      </w:r>
      <w:r w:rsidRPr="00AF3D19">
        <w:rPr>
          <w:rFonts w:ascii="Alkaios" w:hAnsi="Alkaios"/>
          <w:lang w:val="el-GR"/>
        </w:rPr>
        <w:t>καὶ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ὑπὸ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ταύτης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τῆς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ἀσχολίας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οὔτε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τι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τῶν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τῆς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πόλεως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πρᾶξαί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μοι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σχολὴ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γέγονεν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ἄξιον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λόγου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οὔτε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τῶν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οἰκείων</w:t>
      </w:r>
      <w:r w:rsidRPr="00AF3D19">
        <w:rPr>
          <w:rFonts w:ascii="Alkaios" w:hAnsi="Alkaios"/>
          <w:lang w:val="en-US"/>
        </w:rPr>
        <w:t xml:space="preserve">, </w:t>
      </w:r>
      <w:r w:rsidRPr="00AF3D19">
        <w:rPr>
          <w:rFonts w:ascii="Alkaios" w:hAnsi="Alkaios"/>
          <w:lang w:val="el-GR"/>
        </w:rPr>
        <w:t>ἀλλ᾽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ἐν</w:t>
      </w:r>
      <w:r w:rsidRPr="00AF3D19">
        <w:rPr>
          <w:rFonts w:ascii="Alkaios" w:hAnsi="Alkaios"/>
          <w:lang w:val="en-US"/>
        </w:rPr>
        <w:t xml:space="preserve"> </w:t>
      </w:r>
      <w:hyperlink r:id="rId9" w:anchor="p.23c" w:history="1">
        <w:r w:rsidRPr="00AF3D19">
          <w:rPr>
            <w:rStyle w:val="Hyperlink"/>
            <w:rFonts w:ascii="Alkaios" w:eastAsiaTheme="majorEastAsia" w:hAnsi="Alkaios"/>
            <w:lang w:val="en-US"/>
          </w:rPr>
          <w:t>c</w:t>
        </w:r>
      </w:hyperlink>
      <w:r w:rsidRPr="00AF3D19">
        <w:rPr>
          <w:rFonts w:ascii="Alkaios" w:hAnsi="Alkaios"/>
          <w:lang w:val="en-US"/>
        </w:rPr>
        <w:t xml:space="preserve">  </w:t>
      </w:r>
      <w:r w:rsidRPr="00AF3D19">
        <w:rPr>
          <w:rFonts w:ascii="Alkaios" w:hAnsi="Alkaios"/>
          <w:lang w:val="el-GR"/>
        </w:rPr>
        <w:t>πενίᾳ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μυρίᾳ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εἰμὶ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διὰ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τὴν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τοῦ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θεοῦ</w:t>
      </w:r>
      <w:r w:rsidRPr="00AF3D19">
        <w:rPr>
          <w:rFonts w:ascii="Alkaios" w:hAnsi="Alkaios"/>
          <w:lang w:val="en-US"/>
        </w:rPr>
        <w:t xml:space="preserve"> </w:t>
      </w:r>
      <w:r w:rsidRPr="00AF3D19">
        <w:rPr>
          <w:rFonts w:ascii="Alkaios" w:hAnsi="Alkaios"/>
          <w:lang w:val="el-GR"/>
        </w:rPr>
        <w:t>λατρείαν</w:t>
      </w:r>
      <w:r w:rsidRPr="00AF3D19">
        <w:rPr>
          <w:rFonts w:ascii="Alkaios" w:hAnsi="Alkaios"/>
          <w:lang w:val="en-US"/>
        </w:rPr>
        <w:t xml:space="preserve">. </w:t>
      </w:r>
    </w:p>
    <w:p w14:paraId="19E005AE" w14:textId="58F43E82" w:rsidR="005348D6" w:rsidRPr="00851AAF" w:rsidRDefault="005348D6" w:rsidP="00851AAF">
      <w:pPr>
        <w:pStyle w:val="StandardWeb"/>
        <w:spacing w:before="0" w:after="0" w:afterAutospacing="0"/>
        <w:rPr>
          <w:rFonts w:ascii="Alkaios" w:hAnsi="Alkaios"/>
          <w:lang w:val="en-US"/>
        </w:rPr>
      </w:pPr>
      <w:r w:rsidRPr="00804DBF">
        <w:rPr>
          <w:rFonts w:ascii="Alkaios" w:hAnsi="Alkaios"/>
        </w:rPr>
        <w:t>Πρὸς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δὲ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τούτοις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οἱ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νέοι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μοι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ἐπακολουθοῦντες</w:t>
      </w:r>
      <w:r w:rsidRPr="008B13D4">
        <w:rPr>
          <w:rFonts w:ascii="Alkaios" w:hAnsi="Alkaios"/>
          <w:lang w:val="en-US"/>
        </w:rPr>
        <w:t>—</w:t>
      </w:r>
      <w:r w:rsidRPr="00804DBF">
        <w:rPr>
          <w:rFonts w:ascii="Alkaios" w:hAnsi="Alkaios"/>
        </w:rPr>
        <w:t>οἷς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μάλιστα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σχολή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ἐστιν</w:t>
      </w:r>
      <w:r w:rsidRPr="008B13D4">
        <w:rPr>
          <w:rFonts w:ascii="Alkaios" w:hAnsi="Alkaios"/>
          <w:lang w:val="en-US"/>
        </w:rPr>
        <w:t xml:space="preserve">, </w:t>
      </w:r>
      <w:r w:rsidRPr="00804DBF">
        <w:rPr>
          <w:rFonts w:ascii="Alkaios" w:hAnsi="Alkaios"/>
        </w:rPr>
        <w:t>οἱ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τῶν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πλουσιωτάτων</w:t>
      </w:r>
      <w:r w:rsidRPr="008B13D4">
        <w:rPr>
          <w:rFonts w:ascii="Alkaios" w:hAnsi="Alkaios"/>
          <w:lang w:val="en-US"/>
        </w:rPr>
        <w:t>—</w:t>
      </w:r>
      <w:r w:rsidRPr="00804DBF">
        <w:rPr>
          <w:rFonts w:ascii="Alkaios" w:hAnsi="Alkaios"/>
        </w:rPr>
        <w:t>αὐτόματοι</w:t>
      </w:r>
      <w:r w:rsidRPr="008B13D4">
        <w:rPr>
          <w:rFonts w:ascii="Alkaios" w:hAnsi="Alkaios"/>
          <w:lang w:val="en-US"/>
        </w:rPr>
        <w:t xml:space="preserve">, </w:t>
      </w:r>
      <w:r w:rsidRPr="00804DBF">
        <w:rPr>
          <w:rFonts w:ascii="Alkaios" w:hAnsi="Alkaios"/>
        </w:rPr>
        <w:t>χαίρουσιν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ἀκούοντες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ἐξεταζομένων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τῶν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ἀνθρώπων</w:t>
      </w:r>
      <w:r w:rsidRPr="008B13D4">
        <w:rPr>
          <w:rFonts w:ascii="Alkaios" w:hAnsi="Alkaios"/>
          <w:lang w:val="en-US"/>
        </w:rPr>
        <w:t xml:space="preserve">, </w:t>
      </w:r>
      <w:r w:rsidRPr="00804DBF">
        <w:rPr>
          <w:rFonts w:ascii="Alkaios" w:hAnsi="Alkaios"/>
        </w:rPr>
        <w:t>καὶ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αὐτοὶ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πολλάκις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ἐμὲ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μιμοῦνται</w:t>
      </w:r>
      <w:r w:rsidRPr="008B13D4">
        <w:rPr>
          <w:rFonts w:ascii="Alkaios" w:hAnsi="Alkaios"/>
          <w:lang w:val="en-US"/>
        </w:rPr>
        <w:t xml:space="preserve">, </w:t>
      </w:r>
      <w:r w:rsidRPr="00804DBF">
        <w:rPr>
          <w:rFonts w:ascii="Alkaios" w:hAnsi="Alkaios"/>
        </w:rPr>
        <w:t>εἶτα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ἐπιχειροῦσιν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ἄλλους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ἐξετάζειν</w:t>
      </w:r>
      <w:r w:rsidRPr="008B13D4">
        <w:rPr>
          <w:rFonts w:ascii="Alkaios" w:hAnsi="Alkaios"/>
          <w:lang w:val="en-US"/>
        </w:rPr>
        <w:t xml:space="preserve">· </w:t>
      </w:r>
      <w:r w:rsidRPr="00804DBF">
        <w:rPr>
          <w:rFonts w:ascii="Alkaios" w:hAnsi="Alkaios"/>
        </w:rPr>
        <w:t>κἄπειτα</w:t>
      </w:r>
      <w:r w:rsidR="00FB55E6" w:rsidRPr="008B13D4">
        <w:rPr>
          <w:rFonts w:ascii="Alkaios" w:hAnsi="Alkaios"/>
          <w:lang w:val="en-US"/>
        </w:rPr>
        <w:t>,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οἶμαι</w:t>
      </w:r>
      <w:r w:rsidR="00FB55E6" w:rsidRPr="008B13D4">
        <w:rPr>
          <w:rFonts w:ascii="Alkaios" w:hAnsi="Alkaios"/>
          <w:lang w:val="en-US"/>
        </w:rPr>
        <w:t>,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εὑρίσκουσι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πολλὴν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ἀφθονίαν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οἰομένων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μὲν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εἰδέναι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τι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ἀνθρώπων</w:t>
      </w:r>
      <w:r w:rsidRPr="008B13D4">
        <w:rPr>
          <w:rFonts w:ascii="Alkaios" w:hAnsi="Alkaios"/>
          <w:lang w:val="en-US"/>
        </w:rPr>
        <w:t xml:space="preserve">, </w:t>
      </w:r>
      <w:r w:rsidRPr="00804DBF">
        <w:rPr>
          <w:rFonts w:ascii="Alkaios" w:hAnsi="Alkaios"/>
        </w:rPr>
        <w:t>εἰδότων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δὲ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ὀλίγα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ἢ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οὐδέν</w:t>
      </w:r>
      <w:r w:rsidRPr="008B13D4">
        <w:rPr>
          <w:rFonts w:ascii="Alkaios" w:hAnsi="Alkaios"/>
          <w:lang w:val="en-US"/>
        </w:rPr>
        <w:t xml:space="preserve">. </w:t>
      </w:r>
      <w:r w:rsidRPr="00804DBF">
        <w:rPr>
          <w:rFonts w:ascii="Alkaios" w:hAnsi="Alkaios"/>
        </w:rPr>
        <w:t>ἐντεῦθεν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οὖν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οἱ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ὑπ᾽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αὐτῶν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ἐξεταζόμενοι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ἐμοὶ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ὀργίζονται</w:t>
      </w:r>
      <w:r w:rsidRPr="008B13D4">
        <w:rPr>
          <w:rFonts w:ascii="Alkaios" w:hAnsi="Alkaios"/>
          <w:lang w:val="en-US"/>
        </w:rPr>
        <w:t xml:space="preserve">, </w:t>
      </w:r>
      <w:r w:rsidRPr="00804DBF">
        <w:rPr>
          <w:rFonts w:ascii="Alkaios" w:hAnsi="Alkaios"/>
        </w:rPr>
        <w:t>οὐχ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αὑτοῖς</w:t>
      </w:r>
      <w:r w:rsidRPr="008B13D4">
        <w:rPr>
          <w:rFonts w:ascii="Alkaios" w:hAnsi="Alkaios"/>
          <w:lang w:val="en-US"/>
        </w:rPr>
        <w:t xml:space="preserve">, </w:t>
      </w:r>
      <w:hyperlink r:id="rId10" w:anchor="p.23d" w:history="1">
        <w:r w:rsidRPr="008B13D4">
          <w:rPr>
            <w:rStyle w:val="Hyperlink"/>
            <w:rFonts w:ascii="Alkaios" w:eastAsiaTheme="majorEastAsia" w:hAnsi="Alkaios"/>
            <w:lang w:val="en-US"/>
          </w:rPr>
          <w:t>d</w:t>
        </w:r>
      </w:hyperlink>
      <w:r w:rsidRPr="008B13D4">
        <w:rPr>
          <w:rFonts w:ascii="Alkaios" w:hAnsi="Alkaios"/>
          <w:lang w:val="en-US"/>
        </w:rPr>
        <w:t xml:space="preserve">  </w:t>
      </w:r>
      <w:r w:rsidRPr="00804DBF">
        <w:rPr>
          <w:rFonts w:ascii="Alkaios" w:hAnsi="Alkaios"/>
        </w:rPr>
        <w:t>καὶ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λέγουσιν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ὡς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Σωκράτης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τίς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ἐστι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μιαρώτατος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καὶ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διαφθείρει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τοὺς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νέους</w:t>
      </w:r>
      <w:r w:rsidRPr="008B13D4">
        <w:rPr>
          <w:rFonts w:ascii="Alkaios" w:hAnsi="Alkaios"/>
          <w:lang w:val="en-US"/>
        </w:rPr>
        <w:t xml:space="preserve">· </w:t>
      </w:r>
      <w:r w:rsidRPr="00804DBF">
        <w:rPr>
          <w:rFonts w:ascii="Alkaios" w:hAnsi="Alkaios"/>
        </w:rPr>
        <w:t>καὶ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ἐπειδάν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τις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αὐτοὺς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ἐρωτᾷ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ὅτι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ποιῶν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καὶ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ὅτι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διδάσκων</w:t>
      </w:r>
      <w:r w:rsidR="00AB5414">
        <w:rPr>
          <w:rStyle w:val="Funotenzeichen"/>
          <w:rFonts w:ascii="Alkaios" w:hAnsi="Alkaios"/>
        </w:rPr>
        <w:footnoteReference w:id="8"/>
      </w:r>
      <w:r w:rsidRPr="008B13D4">
        <w:rPr>
          <w:rFonts w:ascii="Alkaios" w:hAnsi="Alkaios"/>
          <w:lang w:val="en-US"/>
        </w:rPr>
        <w:t xml:space="preserve">, </w:t>
      </w:r>
      <w:r w:rsidRPr="00804DBF">
        <w:rPr>
          <w:rFonts w:ascii="Alkaios" w:hAnsi="Alkaios"/>
        </w:rPr>
        <w:t>ἔχουσι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μὲν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οὐδὲν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εἰπεῖν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ἀλλ᾽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ἀγνοοῦσιν</w:t>
      </w:r>
      <w:r w:rsidRPr="008B13D4">
        <w:rPr>
          <w:rFonts w:ascii="Alkaios" w:hAnsi="Alkaios"/>
          <w:lang w:val="en-US"/>
        </w:rPr>
        <w:t xml:space="preserve">, </w:t>
      </w:r>
      <w:r w:rsidRPr="00804DBF">
        <w:rPr>
          <w:rFonts w:ascii="Alkaios" w:hAnsi="Alkaios"/>
        </w:rPr>
        <w:t>ἵνα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δὲ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μὴ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δοκῶσιν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ἀπορεῖν</w:t>
      </w:r>
      <w:r w:rsidRPr="008B13D4">
        <w:rPr>
          <w:rFonts w:ascii="Alkaios" w:hAnsi="Alkaios"/>
          <w:lang w:val="en-US"/>
        </w:rPr>
        <w:t xml:space="preserve">, </w:t>
      </w:r>
      <w:r w:rsidRPr="00804DBF">
        <w:rPr>
          <w:rFonts w:ascii="Alkaios" w:hAnsi="Alkaios"/>
        </w:rPr>
        <w:t>τὰ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κατὰ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πάντων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τῶν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φιλοσοφούντων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πρόχειρα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ταῦτα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λέγουσιν</w:t>
      </w:r>
      <w:r w:rsidRPr="008B13D4">
        <w:rPr>
          <w:rFonts w:ascii="Alkaios" w:hAnsi="Alkaios"/>
          <w:lang w:val="en-US"/>
        </w:rPr>
        <w:t xml:space="preserve">, </w:t>
      </w:r>
      <w:r w:rsidRPr="00804DBF">
        <w:rPr>
          <w:rFonts w:ascii="Alkaios" w:hAnsi="Alkaios"/>
        </w:rPr>
        <w:t>ὅτι</w:t>
      </w:r>
      <w:r w:rsidRPr="008B13D4">
        <w:rPr>
          <w:rFonts w:ascii="Alkaios" w:hAnsi="Alkaios"/>
          <w:lang w:val="en-US"/>
        </w:rPr>
        <w:t xml:space="preserve"> “</w:t>
      </w:r>
      <w:r w:rsidRPr="00804DBF">
        <w:rPr>
          <w:rFonts w:ascii="Alkaios" w:hAnsi="Alkaios"/>
        </w:rPr>
        <w:t>τὰ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μετέωρα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καὶ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τὰ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ὑπὸ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γῆς</w:t>
      </w:r>
      <w:r w:rsidRPr="008B13D4">
        <w:rPr>
          <w:rFonts w:ascii="Alkaios" w:hAnsi="Alkaios"/>
          <w:lang w:val="en-US"/>
        </w:rPr>
        <w:t xml:space="preserve">” </w:t>
      </w:r>
      <w:r w:rsidRPr="00804DBF">
        <w:rPr>
          <w:rFonts w:ascii="Alkaios" w:hAnsi="Alkaios"/>
        </w:rPr>
        <w:t>καὶ</w:t>
      </w:r>
      <w:r w:rsidRPr="008B13D4">
        <w:rPr>
          <w:rFonts w:ascii="Alkaios" w:hAnsi="Alkaios"/>
          <w:lang w:val="en-US"/>
        </w:rPr>
        <w:t xml:space="preserve"> “</w:t>
      </w:r>
      <w:r w:rsidRPr="00804DBF">
        <w:rPr>
          <w:rFonts w:ascii="Alkaios" w:hAnsi="Alkaios"/>
        </w:rPr>
        <w:t>θεοὺς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μὴ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νομίζειν</w:t>
      </w:r>
      <w:r w:rsidRPr="008B13D4">
        <w:rPr>
          <w:rFonts w:ascii="Alkaios" w:hAnsi="Alkaios"/>
          <w:lang w:val="en-US"/>
        </w:rPr>
        <w:t xml:space="preserve">” </w:t>
      </w:r>
      <w:r w:rsidRPr="00804DBF">
        <w:rPr>
          <w:rFonts w:ascii="Alkaios" w:hAnsi="Alkaios"/>
        </w:rPr>
        <w:t>καὶ</w:t>
      </w:r>
      <w:r w:rsidRPr="008B13D4">
        <w:rPr>
          <w:rFonts w:ascii="Alkaios" w:hAnsi="Alkaios"/>
          <w:lang w:val="en-US"/>
        </w:rPr>
        <w:t xml:space="preserve"> “</w:t>
      </w:r>
      <w:r w:rsidRPr="00804DBF">
        <w:rPr>
          <w:rFonts w:ascii="Alkaios" w:hAnsi="Alkaios"/>
        </w:rPr>
        <w:t>τὸν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ἥττω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λόγον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κρείττω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ποιεῖν</w:t>
      </w:r>
      <w:r w:rsidRPr="008B13D4">
        <w:rPr>
          <w:rFonts w:ascii="Alkaios" w:hAnsi="Alkaios"/>
          <w:lang w:val="en-US"/>
        </w:rPr>
        <w:t xml:space="preserve">”. </w:t>
      </w:r>
      <w:r w:rsidRPr="00804DBF">
        <w:rPr>
          <w:rFonts w:ascii="Alkaios" w:hAnsi="Alkaios"/>
        </w:rPr>
        <w:t>τὰ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γὰρ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ἀληθῆ</w:t>
      </w:r>
      <w:r w:rsidR="00173545" w:rsidRPr="008B13D4">
        <w:rPr>
          <w:rFonts w:ascii="Alkaios" w:hAnsi="Alkaios"/>
          <w:lang w:val="en-US"/>
        </w:rPr>
        <w:t>,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οἴομαι</w:t>
      </w:r>
      <w:r w:rsidR="00173545" w:rsidRPr="008B13D4">
        <w:rPr>
          <w:rFonts w:ascii="Alkaios" w:hAnsi="Alkaios"/>
          <w:lang w:val="en-US"/>
        </w:rPr>
        <w:t>,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οὐκ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ἂν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ἐθέλοιεν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λέγειν</w:t>
      </w:r>
      <w:r w:rsidRPr="008B13D4">
        <w:rPr>
          <w:rFonts w:ascii="Alkaios" w:hAnsi="Alkaios"/>
          <w:lang w:val="en-US"/>
        </w:rPr>
        <w:t xml:space="preserve">, </w:t>
      </w:r>
      <w:r w:rsidRPr="00804DBF">
        <w:rPr>
          <w:rFonts w:ascii="Alkaios" w:hAnsi="Alkaios"/>
        </w:rPr>
        <w:t>ὅτι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κατάδηλοι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γίγνονται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προσποιούμενοι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μὲν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εἰδέναι</w:t>
      </w:r>
      <w:r w:rsidRPr="008B13D4">
        <w:rPr>
          <w:rFonts w:ascii="Alkaios" w:hAnsi="Alkaios"/>
          <w:lang w:val="en-US"/>
        </w:rPr>
        <w:t xml:space="preserve">, </w:t>
      </w:r>
      <w:r w:rsidRPr="00804DBF">
        <w:rPr>
          <w:rFonts w:ascii="Alkaios" w:hAnsi="Alkaios"/>
        </w:rPr>
        <w:t>εἰδότες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δὲ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οὐδέν</w:t>
      </w:r>
      <w:r w:rsidRPr="008B13D4">
        <w:rPr>
          <w:rFonts w:ascii="Alkaios" w:hAnsi="Alkaios"/>
          <w:lang w:val="en-US"/>
        </w:rPr>
        <w:t xml:space="preserve">. </w:t>
      </w:r>
      <w:r w:rsidRPr="00804DBF">
        <w:rPr>
          <w:rFonts w:ascii="Alkaios" w:hAnsi="Alkaios"/>
        </w:rPr>
        <w:t>ἅτε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οὖν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οἶμαι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φιλότιμοι</w:t>
      </w:r>
      <w:r w:rsidRPr="008B13D4">
        <w:rPr>
          <w:rFonts w:ascii="Alkaios" w:hAnsi="Alkaios"/>
          <w:lang w:val="en-US"/>
        </w:rPr>
        <w:t xml:space="preserve"> </w:t>
      </w:r>
      <w:hyperlink r:id="rId11" w:anchor="p.23e" w:history="1">
        <w:r w:rsidRPr="008B13D4">
          <w:rPr>
            <w:rStyle w:val="Hyperlink"/>
            <w:rFonts w:ascii="Alkaios" w:eastAsiaTheme="majorEastAsia" w:hAnsi="Alkaios"/>
            <w:lang w:val="en-US"/>
          </w:rPr>
          <w:t>e</w:t>
        </w:r>
      </w:hyperlink>
      <w:r w:rsidRPr="008B13D4">
        <w:rPr>
          <w:rFonts w:ascii="Alkaios" w:hAnsi="Alkaios"/>
          <w:lang w:val="en-US"/>
        </w:rPr>
        <w:t xml:space="preserve">  </w:t>
      </w:r>
      <w:r w:rsidRPr="00804DBF">
        <w:rPr>
          <w:rFonts w:ascii="Alkaios" w:hAnsi="Alkaios"/>
        </w:rPr>
        <w:t>ὄντες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καὶ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σφοδροὶ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καὶ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πολλοί</w:t>
      </w:r>
      <w:r w:rsidRPr="008B13D4">
        <w:rPr>
          <w:rFonts w:ascii="Alkaios" w:hAnsi="Alkaios"/>
          <w:lang w:val="en-US"/>
        </w:rPr>
        <w:t xml:space="preserve">, </w:t>
      </w:r>
      <w:r w:rsidRPr="00804DBF">
        <w:rPr>
          <w:rFonts w:ascii="Alkaios" w:hAnsi="Alkaios"/>
        </w:rPr>
        <w:t>καὶ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συντεταμένως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καὶ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πιθανῶς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λέγοντες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περὶ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ἐμοῦ</w:t>
      </w:r>
      <w:r w:rsidRPr="008B13D4">
        <w:rPr>
          <w:rFonts w:ascii="Alkaios" w:hAnsi="Alkaios"/>
          <w:lang w:val="en-US"/>
        </w:rPr>
        <w:t xml:space="preserve">, </w:t>
      </w:r>
      <w:r w:rsidRPr="00804DBF">
        <w:rPr>
          <w:rFonts w:ascii="Alkaios" w:hAnsi="Alkaios"/>
        </w:rPr>
        <w:t>ἐμπεπλήκασιν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ὑμῶν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τὰ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ὦτα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καὶ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πάλαι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καὶ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σφοδρῶς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διαβάλλοντες</w:t>
      </w:r>
      <w:r w:rsidRPr="008B13D4">
        <w:rPr>
          <w:rFonts w:ascii="Alkaios" w:hAnsi="Alkaios"/>
          <w:lang w:val="en-US"/>
        </w:rPr>
        <w:t xml:space="preserve">. </w:t>
      </w:r>
      <w:r w:rsidRPr="00804DBF">
        <w:rPr>
          <w:rFonts w:ascii="Alkaios" w:hAnsi="Alkaios"/>
        </w:rPr>
        <w:t>ἐκ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τούτων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καὶ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Μέλητός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μοι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ἐπέθετο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καὶ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Ἄνυτος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καὶ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Λύκων</w:t>
      </w:r>
      <w:r w:rsidRPr="008B13D4">
        <w:rPr>
          <w:rFonts w:ascii="Alkaios" w:hAnsi="Alkaios"/>
          <w:lang w:val="en-US"/>
        </w:rPr>
        <w:t xml:space="preserve">, </w:t>
      </w:r>
      <w:r w:rsidRPr="00804DBF">
        <w:rPr>
          <w:rFonts w:ascii="Alkaios" w:hAnsi="Alkaios"/>
        </w:rPr>
        <w:t>Μέλητος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μὲν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ὑπὲρ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τῶν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ποιητῶν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ἀχθόμενος</w:t>
      </w:r>
      <w:r w:rsidRPr="008B13D4">
        <w:rPr>
          <w:rFonts w:ascii="Alkaios" w:hAnsi="Alkaios"/>
          <w:lang w:val="en-US"/>
        </w:rPr>
        <w:t xml:space="preserve">, </w:t>
      </w:r>
      <w:r w:rsidRPr="00804DBF">
        <w:rPr>
          <w:rFonts w:ascii="Alkaios" w:hAnsi="Alkaios"/>
        </w:rPr>
        <w:t>Ἄνυτος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δὲ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ὑπὲρ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τῶν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δημιουργῶν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καὶ</w:t>
      </w:r>
      <w:r w:rsidRPr="008B13D4">
        <w:rPr>
          <w:rFonts w:ascii="Alkaios" w:hAnsi="Alkaios"/>
          <w:lang w:val="en-US"/>
        </w:rPr>
        <w:t xml:space="preserve"> </w:t>
      </w:r>
      <w:hyperlink r:id="rId12" w:anchor="p.24a" w:history="1">
        <w:r w:rsidRPr="008B13D4">
          <w:rPr>
            <w:rStyle w:val="Hyperlink"/>
            <w:rFonts w:ascii="Alkaios" w:eastAsiaTheme="majorEastAsia" w:hAnsi="Alkaios"/>
            <w:lang w:val="en-US"/>
          </w:rPr>
          <w:t>24</w:t>
        </w:r>
      </w:hyperlink>
      <w:r w:rsidRPr="008B13D4">
        <w:rPr>
          <w:rFonts w:ascii="Alkaios" w:hAnsi="Alkaios"/>
          <w:lang w:val="en-US"/>
        </w:rPr>
        <w:t xml:space="preserve">  </w:t>
      </w:r>
      <w:r w:rsidRPr="00804DBF">
        <w:rPr>
          <w:rFonts w:ascii="Alkaios" w:hAnsi="Alkaios"/>
        </w:rPr>
        <w:t>τῶν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πολιτικῶν</w:t>
      </w:r>
      <w:r w:rsidRPr="008B13D4">
        <w:rPr>
          <w:rFonts w:ascii="Alkaios" w:hAnsi="Alkaios"/>
          <w:lang w:val="en-US"/>
        </w:rPr>
        <w:t xml:space="preserve">, </w:t>
      </w:r>
      <w:r w:rsidRPr="00804DBF">
        <w:rPr>
          <w:rFonts w:ascii="Alkaios" w:hAnsi="Alkaios"/>
        </w:rPr>
        <w:t>Λύκων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δὲ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ὑπὲρ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τῶν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ῥητόρων</w:t>
      </w:r>
      <w:r w:rsidRPr="008B13D4">
        <w:rPr>
          <w:rFonts w:ascii="Alkaios" w:hAnsi="Alkaios"/>
          <w:lang w:val="en-US"/>
        </w:rPr>
        <w:t xml:space="preserve">· </w:t>
      </w:r>
      <w:r w:rsidRPr="00804DBF">
        <w:rPr>
          <w:rFonts w:ascii="Alkaios" w:hAnsi="Alkaios"/>
        </w:rPr>
        <w:t>ὥστε</w:t>
      </w:r>
      <w:r w:rsidRPr="008B13D4">
        <w:rPr>
          <w:rFonts w:ascii="Alkaios" w:hAnsi="Alkaios"/>
          <w:lang w:val="en-US"/>
        </w:rPr>
        <w:t xml:space="preserve">, </w:t>
      </w:r>
      <w:r w:rsidRPr="00804DBF">
        <w:rPr>
          <w:rFonts w:ascii="Alkaios" w:hAnsi="Alkaios"/>
        </w:rPr>
        <w:t>ὅπερ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ἀρχόμενος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ἐγὼ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ἔλεγον</w:t>
      </w:r>
      <w:r w:rsidRPr="008B13D4">
        <w:rPr>
          <w:rFonts w:ascii="Alkaios" w:hAnsi="Alkaios"/>
          <w:lang w:val="en-US"/>
        </w:rPr>
        <w:t xml:space="preserve">, </w:t>
      </w:r>
      <w:r w:rsidRPr="00804DBF">
        <w:rPr>
          <w:rFonts w:ascii="Alkaios" w:hAnsi="Alkaios"/>
        </w:rPr>
        <w:t>θαυμάζοιμ᾽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ἂν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εἰ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οἷός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τ᾽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εἴην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ἐγὼ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ὑμῶν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ταύτην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τὴν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διαβολὴν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ἐξελέσθαι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ἐν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οὕτως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ὀλίγῳ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χρόνῳ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οὕτω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πολλὴν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γεγονυῖαν</w:t>
      </w:r>
      <w:r w:rsidRPr="008B13D4">
        <w:rPr>
          <w:rFonts w:ascii="Alkaios" w:hAnsi="Alkaios"/>
          <w:lang w:val="en-US"/>
        </w:rPr>
        <w:t xml:space="preserve">. </w:t>
      </w:r>
      <w:r w:rsidRPr="00804DBF">
        <w:rPr>
          <w:rFonts w:ascii="Alkaios" w:hAnsi="Alkaios"/>
        </w:rPr>
        <w:t>ταῦτ᾽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ἔστιν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ὑμῖν</w:t>
      </w:r>
      <w:r w:rsidRPr="008B13D4">
        <w:rPr>
          <w:rFonts w:ascii="Alkaios" w:hAnsi="Alkaios"/>
          <w:lang w:val="en-US"/>
        </w:rPr>
        <w:t xml:space="preserve">, </w:t>
      </w:r>
      <w:r w:rsidRPr="00804DBF">
        <w:rPr>
          <w:rFonts w:ascii="Alkaios" w:hAnsi="Alkaios"/>
        </w:rPr>
        <w:t>ὦ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ἄνδρες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Ἀθηναῖοι</w:t>
      </w:r>
      <w:r w:rsidRPr="008B13D4">
        <w:rPr>
          <w:rFonts w:ascii="Alkaios" w:hAnsi="Alkaios"/>
          <w:lang w:val="en-US"/>
        </w:rPr>
        <w:t xml:space="preserve">, </w:t>
      </w:r>
      <w:r w:rsidRPr="00804DBF">
        <w:rPr>
          <w:rFonts w:ascii="Alkaios" w:hAnsi="Alkaios"/>
        </w:rPr>
        <w:t>τἀληθῆ</w:t>
      </w:r>
      <w:r w:rsidRPr="008B13D4">
        <w:rPr>
          <w:rFonts w:ascii="Alkaios" w:hAnsi="Alkaios"/>
          <w:lang w:val="en-US"/>
        </w:rPr>
        <w:t xml:space="preserve">, </w:t>
      </w:r>
      <w:r w:rsidRPr="00804DBF">
        <w:rPr>
          <w:rFonts w:ascii="Alkaios" w:hAnsi="Alkaios"/>
        </w:rPr>
        <w:t>καὶ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ὑμᾶς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οὔτε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μέγα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οὔτε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μικρὸν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ἀποκρυψάμενος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ἐγὼ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λέγω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οὐδ᾽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ὑποστειλάμενος</w:t>
      </w:r>
      <w:r w:rsidRPr="008B13D4">
        <w:rPr>
          <w:rFonts w:ascii="Alkaios" w:hAnsi="Alkaios"/>
          <w:lang w:val="en-US"/>
        </w:rPr>
        <w:t xml:space="preserve">. </w:t>
      </w:r>
      <w:r w:rsidRPr="00804DBF">
        <w:rPr>
          <w:rFonts w:ascii="Alkaios" w:hAnsi="Alkaios"/>
        </w:rPr>
        <w:t>καίτοι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οἶδα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σχεδὸν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ὅτι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αὐτοῖς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τούτοις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ἀπεχθάνομαι</w:t>
      </w:r>
      <w:r w:rsidRPr="008B13D4">
        <w:rPr>
          <w:rFonts w:ascii="Alkaios" w:hAnsi="Alkaios"/>
          <w:lang w:val="en-US"/>
        </w:rPr>
        <w:t xml:space="preserve">, </w:t>
      </w:r>
      <w:r w:rsidRPr="00804DBF">
        <w:rPr>
          <w:rFonts w:ascii="Alkaios" w:hAnsi="Alkaios"/>
        </w:rPr>
        <w:t>ὃ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καὶ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τεκμήριον</w:t>
      </w:r>
      <w:r w:rsidR="00AF3D19">
        <w:rPr>
          <w:rStyle w:val="Funotenzeichen"/>
          <w:rFonts w:ascii="Alkaios" w:hAnsi="Alkaios"/>
        </w:rPr>
        <w:footnoteReference w:id="9"/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ὅτι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ἀληθῆ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λέγω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καὶ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ὅτι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αὕτη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ἐστὶν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ἡ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διαβολὴ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ἡ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ἐμὴ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καὶ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τὰ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αἴτια</w:t>
      </w:r>
      <w:r w:rsidRPr="008B13D4">
        <w:rPr>
          <w:rFonts w:ascii="Alkaios" w:hAnsi="Alkaios"/>
          <w:lang w:val="en-US"/>
        </w:rPr>
        <w:t xml:space="preserve"> </w:t>
      </w:r>
      <w:hyperlink r:id="rId13" w:anchor="p.24b" w:history="1">
        <w:r w:rsidRPr="008B13D4">
          <w:rPr>
            <w:rStyle w:val="Hyperlink"/>
            <w:rFonts w:ascii="Alkaios" w:eastAsiaTheme="majorEastAsia" w:hAnsi="Alkaios"/>
            <w:lang w:val="en-US"/>
          </w:rPr>
          <w:t>b</w:t>
        </w:r>
      </w:hyperlink>
      <w:r w:rsidRPr="008B13D4">
        <w:rPr>
          <w:rFonts w:ascii="Alkaios" w:hAnsi="Alkaios"/>
          <w:lang w:val="en-US"/>
        </w:rPr>
        <w:t xml:space="preserve">  </w:t>
      </w:r>
      <w:r w:rsidRPr="00804DBF">
        <w:rPr>
          <w:rFonts w:ascii="Alkaios" w:hAnsi="Alkaios"/>
        </w:rPr>
        <w:t>ταῦτά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ἐστιν</w:t>
      </w:r>
      <w:r w:rsidRPr="008B13D4">
        <w:rPr>
          <w:rFonts w:ascii="Alkaios" w:hAnsi="Alkaios"/>
          <w:lang w:val="en-US"/>
        </w:rPr>
        <w:t xml:space="preserve">. </w:t>
      </w:r>
      <w:r w:rsidRPr="00804DBF">
        <w:rPr>
          <w:rFonts w:ascii="Alkaios" w:hAnsi="Alkaios"/>
        </w:rPr>
        <w:t>καὶ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ἐάντε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νῦν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ἐάντε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αὖθις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ζητήσητε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ταῦτα</w:t>
      </w:r>
      <w:r w:rsidRPr="008B13D4">
        <w:rPr>
          <w:rFonts w:ascii="Alkaios" w:hAnsi="Alkaios"/>
          <w:lang w:val="en-US"/>
        </w:rPr>
        <w:t xml:space="preserve">, </w:t>
      </w:r>
      <w:r w:rsidRPr="00804DBF">
        <w:rPr>
          <w:rFonts w:ascii="Alkaios" w:hAnsi="Alkaios"/>
        </w:rPr>
        <w:t>οὕτως</w:t>
      </w:r>
      <w:r w:rsidRPr="008B13D4">
        <w:rPr>
          <w:rFonts w:ascii="Alkaios" w:hAnsi="Alkaios"/>
          <w:lang w:val="en-US"/>
        </w:rPr>
        <w:t xml:space="preserve"> </w:t>
      </w:r>
      <w:r w:rsidRPr="00804DBF">
        <w:rPr>
          <w:rFonts w:ascii="Alkaios" w:hAnsi="Alkaios"/>
        </w:rPr>
        <w:t>εὑρήσετε</w:t>
      </w:r>
      <w:r w:rsidRPr="008B13D4">
        <w:rPr>
          <w:rFonts w:ascii="Alkaios" w:hAnsi="Alkaios"/>
          <w:lang w:val="en-US"/>
        </w:rPr>
        <w:t xml:space="preserve">. </w:t>
      </w:r>
    </w:p>
    <w:sectPr w:rsidR="005348D6" w:rsidRPr="00851AAF" w:rsidSect="00804DBF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F08B3" w14:textId="77777777" w:rsidR="00307AE2" w:rsidRDefault="00307AE2" w:rsidP="00804DBF">
      <w:pPr>
        <w:spacing w:after="0"/>
      </w:pPr>
      <w:r>
        <w:separator/>
      </w:r>
    </w:p>
  </w:endnote>
  <w:endnote w:type="continuationSeparator" w:id="0">
    <w:p w14:paraId="53B9A14E" w14:textId="77777777" w:rsidR="00307AE2" w:rsidRDefault="00307AE2" w:rsidP="00804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lkaios">
    <w:panose1 w:val="00000400000000000000"/>
    <w:charset w:val="00"/>
    <w:family w:val="auto"/>
    <w:pitch w:val="variable"/>
    <w:sig w:usb0="C00002EF" w:usb1="1000E0E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2D85A" w14:textId="77777777" w:rsidR="00307AE2" w:rsidRDefault="00307AE2" w:rsidP="00804DBF">
      <w:pPr>
        <w:spacing w:after="0"/>
      </w:pPr>
      <w:r>
        <w:separator/>
      </w:r>
    </w:p>
  </w:footnote>
  <w:footnote w:type="continuationSeparator" w:id="0">
    <w:p w14:paraId="1AFFDA61" w14:textId="77777777" w:rsidR="00307AE2" w:rsidRDefault="00307AE2" w:rsidP="00804DBF">
      <w:pPr>
        <w:spacing w:after="0"/>
      </w:pPr>
      <w:r>
        <w:continuationSeparator/>
      </w:r>
    </w:p>
  </w:footnote>
  <w:footnote w:id="1">
    <w:p w14:paraId="6F56F339" w14:textId="17CD0C30" w:rsidR="00851AAF" w:rsidRPr="00851AAF" w:rsidRDefault="00851AAF">
      <w:pPr>
        <w:pStyle w:val="Funotentext"/>
        <w:rPr>
          <w:i/>
          <w:iCs/>
          <w:sz w:val="18"/>
          <w:szCs w:val="18"/>
          <w:lang w:val="el-GR"/>
        </w:rPr>
      </w:pPr>
      <w:r>
        <w:rPr>
          <w:rStyle w:val="Funotenzeichen"/>
        </w:rPr>
        <w:footnoteRef/>
      </w:r>
      <w:r>
        <w:t xml:space="preserve"> </w:t>
      </w:r>
      <w:r w:rsidRPr="00851AAF">
        <w:rPr>
          <w:i/>
          <w:iCs/>
          <w:sz w:val="18"/>
          <w:szCs w:val="18"/>
          <w:lang w:val="el-GR"/>
        </w:rPr>
        <w:t>καὶ οἷαι</w:t>
      </w:r>
      <w:r w:rsidRPr="00851AAF">
        <w:rPr>
          <w:i/>
          <w:iCs/>
          <w:sz w:val="18"/>
          <w:szCs w:val="18"/>
          <w:lang w:val="el-GR"/>
        </w:rPr>
        <w:t xml:space="preserve"> lies </w:t>
      </w:r>
      <w:r w:rsidRPr="00851AAF">
        <w:rPr>
          <w:i/>
          <w:iCs/>
          <w:sz w:val="18"/>
          <w:szCs w:val="18"/>
          <w:lang w:val="el-GR"/>
        </w:rPr>
        <w:t xml:space="preserve">καὶ </w:t>
      </w:r>
      <w:r w:rsidRPr="00851AAF">
        <w:rPr>
          <w:i/>
          <w:iCs/>
          <w:sz w:val="18"/>
          <w:szCs w:val="18"/>
          <w:lang w:val="el-GR"/>
        </w:rPr>
        <w:t xml:space="preserve">τοιαῦται </w:t>
      </w:r>
      <w:r w:rsidRPr="00851AAF">
        <w:rPr>
          <w:i/>
          <w:iCs/>
          <w:sz w:val="18"/>
          <w:szCs w:val="18"/>
          <w:lang w:val="el-GR"/>
        </w:rPr>
        <w:t>οἷαι</w:t>
      </w:r>
    </w:p>
  </w:footnote>
  <w:footnote w:id="2">
    <w:p w14:paraId="5275CA85" w14:textId="2068E663" w:rsidR="00804DBF" w:rsidRPr="00804DBF" w:rsidRDefault="00804DBF" w:rsidP="00804DBF">
      <w:pPr>
        <w:pStyle w:val="Funotentext"/>
        <w:rPr>
          <w:i/>
          <w:iCs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804DBF">
        <w:rPr>
          <w:i/>
          <w:iCs/>
          <w:sz w:val="18"/>
          <w:szCs w:val="18"/>
          <w:lang w:val="el-GR"/>
        </w:rPr>
        <w:t>ὥστε</w:t>
      </w:r>
      <w:r w:rsidRPr="00804DBF">
        <w:rPr>
          <w:i/>
          <w:iCs/>
          <w:sz w:val="18"/>
          <w:szCs w:val="18"/>
        </w:rPr>
        <w:t xml:space="preserve"> ... </w:t>
      </w:r>
      <w:r w:rsidRPr="00804DBF">
        <w:rPr>
          <w:i/>
          <w:iCs/>
          <w:sz w:val="18"/>
          <w:szCs w:val="18"/>
          <w:lang w:val="el-GR"/>
        </w:rPr>
        <w:t>γεγονέναι</w:t>
      </w:r>
      <w:r w:rsidRPr="00804DBF">
        <w:rPr>
          <w:i/>
          <w:iCs/>
          <w:sz w:val="18"/>
          <w:szCs w:val="18"/>
        </w:rPr>
        <w:t xml:space="preserve"> ... </w:t>
      </w:r>
      <w:r w:rsidRPr="00804DBF">
        <w:rPr>
          <w:i/>
          <w:iCs/>
          <w:sz w:val="18"/>
          <w:szCs w:val="18"/>
          <w:lang w:val="el-GR"/>
        </w:rPr>
        <w:t>λέγεσθαι</w:t>
      </w:r>
      <w:r w:rsidRPr="00804DBF">
        <w:rPr>
          <w:i/>
          <w:iCs/>
          <w:sz w:val="18"/>
          <w:szCs w:val="18"/>
        </w:rPr>
        <w:t xml:space="preserve">: </w:t>
      </w:r>
      <w:r w:rsidRPr="00804DBF">
        <w:rPr>
          <w:i/>
          <w:iCs/>
          <w:sz w:val="18"/>
          <w:szCs w:val="18"/>
          <w:lang w:val="el-GR"/>
        </w:rPr>
        <w:t>ὥστε</w:t>
      </w:r>
      <w:r w:rsidRPr="00804DBF">
        <w:rPr>
          <w:i/>
          <w:iCs/>
          <w:sz w:val="18"/>
          <w:szCs w:val="18"/>
        </w:rPr>
        <w:t xml:space="preserve"> „so dass“ kann mit Inf. oder mit AcI verbunden werden</w:t>
      </w:r>
    </w:p>
  </w:footnote>
  <w:footnote w:id="3">
    <w:p w14:paraId="0AE0D51E" w14:textId="17E88564" w:rsidR="00804DBF" w:rsidRPr="008B13D4" w:rsidRDefault="00804DBF">
      <w:pPr>
        <w:pStyle w:val="Funotentext"/>
        <w:rPr>
          <w:i/>
          <w:iCs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804DBF">
        <w:rPr>
          <w:i/>
          <w:iCs/>
          <w:sz w:val="18"/>
          <w:szCs w:val="18"/>
          <w:lang w:val="el-GR"/>
        </w:rPr>
        <w:t>σοφὸς</w:t>
      </w:r>
      <w:r w:rsidRPr="008B13D4">
        <w:rPr>
          <w:i/>
          <w:iCs/>
          <w:sz w:val="18"/>
          <w:szCs w:val="18"/>
        </w:rPr>
        <w:t xml:space="preserve"> </w:t>
      </w:r>
      <w:r w:rsidRPr="00804DBF">
        <w:rPr>
          <w:i/>
          <w:iCs/>
          <w:sz w:val="18"/>
          <w:szCs w:val="18"/>
          <w:lang w:val="el-GR"/>
        </w:rPr>
        <w:t>εἶναι</w:t>
      </w:r>
      <w:r w:rsidRPr="008B13D4">
        <w:rPr>
          <w:i/>
          <w:iCs/>
          <w:sz w:val="18"/>
          <w:szCs w:val="18"/>
        </w:rPr>
        <w:t xml:space="preserve"> = </w:t>
      </w:r>
      <w:r w:rsidRPr="00804DBF">
        <w:rPr>
          <w:i/>
          <w:iCs/>
          <w:sz w:val="18"/>
          <w:szCs w:val="18"/>
          <w:lang w:val="el-GR"/>
        </w:rPr>
        <w:t>σοφὸν</w:t>
      </w:r>
      <w:r w:rsidRPr="008B13D4">
        <w:rPr>
          <w:i/>
          <w:iCs/>
          <w:sz w:val="18"/>
          <w:szCs w:val="18"/>
        </w:rPr>
        <w:t xml:space="preserve"> </w:t>
      </w:r>
      <w:r w:rsidRPr="00804DBF">
        <w:rPr>
          <w:i/>
          <w:iCs/>
          <w:sz w:val="18"/>
          <w:szCs w:val="18"/>
          <w:lang w:val="el-GR"/>
        </w:rPr>
        <w:t>ἐμὲ</w:t>
      </w:r>
      <w:r w:rsidRPr="008B13D4">
        <w:rPr>
          <w:i/>
          <w:iCs/>
          <w:sz w:val="18"/>
          <w:szCs w:val="18"/>
        </w:rPr>
        <w:t xml:space="preserve"> </w:t>
      </w:r>
      <w:r w:rsidRPr="00804DBF">
        <w:rPr>
          <w:i/>
          <w:iCs/>
          <w:sz w:val="18"/>
          <w:szCs w:val="18"/>
          <w:lang w:val="el-GR"/>
        </w:rPr>
        <w:t>εἶναι</w:t>
      </w:r>
    </w:p>
  </w:footnote>
  <w:footnote w:id="4">
    <w:p w14:paraId="5DA3F600" w14:textId="4CB4CD4A" w:rsidR="00FE7630" w:rsidRPr="008B13D4" w:rsidRDefault="00FE7630">
      <w:pPr>
        <w:pStyle w:val="Funotentext"/>
        <w:rPr>
          <w:i/>
          <w:iCs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FE7630">
        <w:rPr>
          <w:i/>
          <w:iCs/>
          <w:sz w:val="18"/>
          <w:szCs w:val="18"/>
          <w:lang w:val="el-GR"/>
        </w:rPr>
        <w:t>ταῦτα</w:t>
      </w:r>
      <w:r w:rsidRPr="008B13D4">
        <w:rPr>
          <w:i/>
          <w:iCs/>
          <w:sz w:val="18"/>
          <w:szCs w:val="18"/>
        </w:rPr>
        <w:t xml:space="preserve"> ... </w:t>
      </w:r>
      <w:r w:rsidRPr="00FE7630">
        <w:rPr>
          <w:i/>
          <w:iCs/>
          <w:sz w:val="18"/>
          <w:szCs w:val="18"/>
          <w:lang w:val="el-GR"/>
        </w:rPr>
        <w:t>ἃ</w:t>
      </w:r>
      <w:r w:rsidRPr="008B13D4">
        <w:rPr>
          <w:i/>
          <w:iCs/>
          <w:sz w:val="18"/>
          <w:szCs w:val="18"/>
        </w:rPr>
        <w:t xml:space="preserve"> ...: adv.Akk.</w:t>
      </w:r>
    </w:p>
  </w:footnote>
  <w:footnote w:id="5">
    <w:p w14:paraId="62521B20" w14:textId="5F23FDFD" w:rsidR="00960DEB" w:rsidRPr="00960DEB" w:rsidRDefault="00960DEB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960DEB">
        <w:rPr>
          <w:i/>
          <w:iCs/>
          <w:sz w:val="18"/>
          <w:szCs w:val="18"/>
          <w:lang w:val="el-GR"/>
        </w:rPr>
        <w:t>τὸ</w:t>
      </w:r>
      <w:r w:rsidRPr="008B13D4">
        <w:rPr>
          <w:i/>
          <w:iCs/>
          <w:sz w:val="18"/>
          <w:szCs w:val="18"/>
        </w:rPr>
        <w:t xml:space="preserve"> </w:t>
      </w:r>
      <w:r w:rsidRPr="00960DEB">
        <w:rPr>
          <w:i/>
          <w:iCs/>
          <w:sz w:val="18"/>
          <w:szCs w:val="18"/>
          <w:lang w:val="el-GR"/>
        </w:rPr>
        <w:t>δέ</w:t>
      </w:r>
      <w:r w:rsidRPr="008B13D4">
        <w:rPr>
          <w:i/>
          <w:iCs/>
          <w:sz w:val="18"/>
          <w:szCs w:val="18"/>
        </w:rPr>
        <w:t xml:space="preserve"> „andererseits, aber doch“</w:t>
      </w:r>
    </w:p>
  </w:footnote>
  <w:footnote w:id="6">
    <w:p w14:paraId="03CE5FCA" w14:textId="40E3D6C0" w:rsidR="00851AAF" w:rsidRPr="00851AAF" w:rsidRDefault="00851AAF" w:rsidP="00851AAF">
      <w:pPr>
        <w:pStyle w:val="Funotentext"/>
        <w:tabs>
          <w:tab w:val="left" w:pos="1701"/>
        </w:tabs>
      </w:pPr>
      <w:r>
        <w:rPr>
          <w:rStyle w:val="Funotenzeichen"/>
        </w:rPr>
        <w:footnoteRef/>
      </w:r>
      <w:r w:rsidRPr="00851AAF">
        <w:t xml:space="preserve"> </w:t>
      </w:r>
      <w:r w:rsidRPr="00851AAF">
        <w:rPr>
          <w:i/>
          <w:iCs/>
          <w:sz w:val="18"/>
          <w:szCs w:val="18"/>
          <w:lang w:val="el-GR"/>
        </w:rPr>
        <w:t>ὀλίγου τινὸς</w:t>
      </w:r>
      <w:r w:rsidRPr="00851AAF">
        <w:rPr>
          <w:i/>
          <w:iCs/>
          <w:sz w:val="18"/>
          <w:szCs w:val="18"/>
          <w:lang w:val="el-GR"/>
        </w:rPr>
        <w:t>: τις hinter Adjektiven „gewissermaßen, zimlich, gar“</w:t>
      </w:r>
    </w:p>
  </w:footnote>
  <w:footnote w:id="7">
    <w:p w14:paraId="0B429DAC" w14:textId="1800D7D4" w:rsidR="004D3092" w:rsidRDefault="004D309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4D3092">
        <w:rPr>
          <w:i/>
          <w:iCs/>
          <w:sz w:val="18"/>
          <w:szCs w:val="18"/>
          <w:lang w:val="el-GR"/>
        </w:rPr>
        <w:t>καὶ</w:t>
      </w:r>
      <w:r w:rsidRPr="008B13D4">
        <w:rPr>
          <w:i/>
          <w:iCs/>
          <w:sz w:val="18"/>
          <w:szCs w:val="18"/>
        </w:rPr>
        <w:t xml:space="preserve"> </w:t>
      </w:r>
      <w:r w:rsidRPr="004D3092">
        <w:rPr>
          <w:i/>
          <w:iCs/>
          <w:sz w:val="18"/>
          <w:szCs w:val="18"/>
          <w:lang w:val="el-GR"/>
        </w:rPr>
        <w:t>τῶν</w:t>
      </w:r>
      <w:r w:rsidRPr="008B13D4">
        <w:rPr>
          <w:i/>
          <w:iCs/>
          <w:sz w:val="18"/>
          <w:szCs w:val="18"/>
        </w:rPr>
        <w:t xml:space="preserve"> </w:t>
      </w:r>
      <w:r w:rsidRPr="004D3092">
        <w:rPr>
          <w:i/>
          <w:iCs/>
          <w:sz w:val="18"/>
          <w:szCs w:val="18"/>
          <w:lang w:val="el-GR"/>
        </w:rPr>
        <w:t>ἀστῶν</w:t>
      </w:r>
      <w:r w:rsidRPr="008B13D4">
        <w:rPr>
          <w:i/>
          <w:iCs/>
          <w:sz w:val="18"/>
          <w:szCs w:val="18"/>
        </w:rPr>
        <w:t xml:space="preserve"> </w:t>
      </w:r>
      <w:r w:rsidRPr="004D3092">
        <w:rPr>
          <w:i/>
          <w:iCs/>
          <w:sz w:val="18"/>
          <w:szCs w:val="18"/>
          <w:lang w:val="el-GR"/>
        </w:rPr>
        <w:t>καὶ</w:t>
      </w:r>
      <w:r w:rsidRPr="008B13D4">
        <w:rPr>
          <w:i/>
          <w:iCs/>
          <w:sz w:val="18"/>
          <w:szCs w:val="18"/>
        </w:rPr>
        <w:t xml:space="preserve"> </w:t>
      </w:r>
      <w:r w:rsidRPr="004D3092">
        <w:rPr>
          <w:i/>
          <w:iCs/>
          <w:sz w:val="18"/>
          <w:szCs w:val="18"/>
          <w:lang w:val="el-GR"/>
        </w:rPr>
        <w:t>ξένων</w:t>
      </w:r>
      <w:r w:rsidRPr="008B13D4">
        <w:rPr>
          <w:i/>
          <w:iCs/>
          <w:sz w:val="18"/>
          <w:szCs w:val="18"/>
        </w:rPr>
        <w:t>: Prolepsis (aus dem folgenden Konditionalsatz heraus- und vorangestellt)</w:t>
      </w:r>
      <w:r>
        <w:rPr>
          <w:sz w:val="24"/>
          <w:szCs w:val="24"/>
        </w:rPr>
        <w:t xml:space="preserve"> </w:t>
      </w:r>
    </w:p>
  </w:footnote>
  <w:footnote w:id="8">
    <w:p w14:paraId="0722CE2A" w14:textId="263DED8C" w:rsidR="00AB5414" w:rsidRPr="008B13D4" w:rsidRDefault="00AB541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AB5414">
        <w:rPr>
          <w:i/>
          <w:iCs/>
          <w:sz w:val="18"/>
          <w:szCs w:val="18"/>
          <w:lang w:val="el-GR"/>
        </w:rPr>
        <w:t>διδάσκων</w:t>
      </w:r>
      <w:r w:rsidRPr="008B13D4">
        <w:rPr>
          <w:i/>
          <w:iCs/>
          <w:sz w:val="18"/>
          <w:szCs w:val="18"/>
        </w:rPr>
        <w:t xml:space="preserve"> erg. </w:t>
      </w:r>
      <w:r w:rsidRPr="00AB5414">
        <w:rPr>
          <w:i/>
          <w:iCs/>
          <w:sz w:val="18"/>
          <w:szCs w:val="18"/>
          <w:lang w:val="el-GR"/>
        </w:rPr>
        <w:t>ταῦτα</w:t>
      </w:r>
      <w:r w:rsidRPr="008B13D4">
        <w:rPr>
          <w:i/>
          <w:iCs/>
          <w:sz w:val="18"/>
          <w:szCs w:val="18"/>
        </w:rPr>
        <w:t xml:space="preserve"> </w:t>
      </w:r>
      <w:r w:rsidRPr="00AB5414">
        <w:rPr>
          <w:i/>
          <w:iCs/>
          <w:sz w:val="18"/>
          <w:szCs w:val="18"/>
          <w:lang w:val="el-GR"/>
        </w:rPr>
        <w:t>λέγουσιν</w:t>
      </w:r>
    </w:p>
  </w:footnote>
  <w:footnote w:id="9">
    <w:p w14:paraId="4E6EB1DA" w14:textId="2A7759AC" w:rsidR="00AF3D19" w:rsidRPr="008B13D4" w:rsidRDefault="00AF3D1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AF3D19">
        <w:rPr>
          <w:i/>
          <w:iCs/>
          <w:sz w:val="18"/>
          <w:szCs w:val="18"/>
          <w:lang w:val="el-GR"/>
        </w:rPr>
        <w:t>τεκμήριον</w:t>
      </w:r>
      <w:r w:rsidRPr="008B13D4">
        <w:rPr>
          <w:i/>
          <w:iCs/>
          <w:sz w:val="18"/>
          <w:szCs w:val="18"/>
        </w:rPr>
        <w:t xml:space="preserve"> erg. </w:t>
      </w:r>
      <w:r w:rsidRPr="00AF3D19">
        <w:rPr>
          <w:i/>
          <w:iCs/>
          <w:sz w:val="18"/>
          <w:szCs w:val="18"/>
          <w:lang w:val="el-GR"/>
        </w:rPr>
        <w:t>τούτων</w:t>
      </w:r>
      <w:r w:rsidRPr="008B13D4">
        <w:rPr>
          <w:i/>
          <w:iCs/>
          <w:sz w:val="18"/>
          <w:szCs w:val="18"/>
        </w:rPr>
        <w:t xml:space="preserve"> </w:t>
      </w:r>
      <w:r w:rsidRPr="00AF3D19">
        <w:rPr>
          <w:i/>
          <w:iCs/>
          <w:sz w:val="18"/>
          <w:szCs w:val="18"/>
          <w:lang w:val="el-GR"/>
        </w:rPr>
        <w:t>ἐστίν</w:t>
      </w:r>
      <w:r w:rsidRPr="008B13D4">
        <w:rPr>
          <w:sz w:val="24"/>
          <w:szCs w:val="24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1B"/>
    <w:rsid w:val="00082115"/>
    <w:rsid w:val="000A464B"/>
    <w:rsid w:val="00173545"/>
    <w:rsid w:val="001A6E1B"/>
    <w:rsid w:val="001C1B28"/>
    <w:rsid w:val="001C6B15"/>
    <w:rsid w:val="001E0960"/>
    <w:rsid w:val="001F586B"/>
    <w:rsid w:val="00284949"/>
    <w:rsid w:val="00307AE2"/>
    <w:rsid w:val="0040295F"/>
    <w:rsid w:val="004125C3"/>
    <w:rsid w:val="004755B0"/>
    <w:rsid w:val="004D3092"/>
    <w:rsid w:val="005069DE"/>
    <w:rsid w:val="005348D6"/>
    <w:rsid w:val="00595860"/>
    <w:rsid w:val="00642140"/>
    <w:rsid w:val="006A1A45"/>
    <w:rsid w:val="00763112"/>
    <w:rsid w:val="007D1FD4"/>
    <w:rsid w:val="007D4B6E"/>
    <w:rsid w:val="00804DBF"/>
    <w:rsid w:val="00851AAF"/>
    <w:rsid w:val="0088799E"/>
    <w:rsid w:val="00897690"/>
    <w:rsid w:val="008B13D4"/>
    <w:rsid w:val="008C4399"/>
    <w:rsid w:val="00960DEB"/>
    <w:rsid w:val="0097628B"/>
    <w:rsid w:val="00A44E1F"/>
    <w:rsid w:val="00AB5414"/>
    <w:rsid w:val="00AF3D19"/>
    <w:rsid w:val="00BB47C5"/>
    <w:rsid w:val="00D16A6A"/>
    <w:rsid w:val="00FB55E6"/>
    <w:rsid w:val="00FE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D7DF"/>
  <w15:chartTrackingRefBased/>
  <w15:docId w15:val="{862E298D-B70F-4757-A583-5704B2CC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lkaios" w:eastAsiaTheme="minorHAnsi" w:hAnsi="Alkaios" w:cs="DejaVu Sans"/>
        <w:sz w:val="22"/>
        <w:szCs w:val="22"/>
        <w:lang w:val="de-DE" w:eastAsia="en-US" w:bidi="ar-SA"/>
      </w:rPr>
    </w:rPrDefault>
    <w:pPrDefault>
      <w:pPr>
        <w:spacing w:after="120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A6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A6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A6E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A6E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A6E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A6E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A6E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A6E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A6E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A6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A6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A6E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A6E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A6E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6E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6E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6E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6E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A6E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A6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6E1B"/>
    <w:pPr>
      <w:numPr>
        <w:ilvl w:val="1"/>
      </w:numPr>
      <w:spacing w:after="160"/>
      <w:ind w:left="283" w:hanging="35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6E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A6E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A6E1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A6E1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A6E1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6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6E1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A6E1B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5348D6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5348D6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04DBF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04DB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04D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13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12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7A2B9-86E6-4BE5-B63F-1104F0C89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 Holtiegel</dc:creator>
  <cp:keywords/>
  <dc:description/>
  <cp:lastModifiedBy>Friedrich Holtiegel</cp:lastModifiedBy>
  <cp:revision>8</cp:revision>
  <dcterms:created xsi:type="dcterms:W3CDTF">2024-10-09T06:16:00Z</dcterms:created>
  <dcterms:modified xsi:type="dcterms:W3CDTF">2024-11-02T10:41:00Z</dcterms:modified>
</cp:coreProperties>
</file>